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Multisensore</w:t>
      </w:r>
    </w:p>
    <w:p/>
    <w:p>
      <w:pPr/>
      <w:r>
        <w:rPr>
          <w:b w:val="1"/>
          <w:bCs w:val="1"/>
        </w:rPr>
        <w:t xml:space="preserve">Multisensore EO</w:t>
      </w:r>
    </w:p>
    <w:p>
      <w:pPr/>
      <w:r>
        <w:rPr>
          <w:b w:val="1"/>
          <w:bCs w:val="1"/>
        </w:rPr>
        <w:t xml:space="preserve">IP - incassato bianco</w:t>
      </w:r>
    </w:p>
    <w:p/>
    <w:p>
      <w:pPr/>
      <w:r>
        <w:rPr/>
        <w:t xml:space="preserve">Dimensioni (lung. x largh. x alt.): 103 x 103 x 52 mm;Con rilevatore di movimento: Sì;Garanzia del produttore: 5 anni;Impostazioni tramite: Bluetooth Mesh;Con telecomando: No;Variante: IP - incassato bianco;VPE1, EAN: 4007841091163;Applicazione, luogo: Interni;colore: bianco;Incl. supporto per montaggio angolare a muro: No;Luogo di montaggio: soffitto;Montaggio: Incassato;Grado di protezione: IP20;Allacciamento alla rete: 44 – 57 V;Dettaglio tensione di alimentazione: Passive PoE SELV, Standard PoE (IEEE 802.3 af);Tecnologia, sensori: CO2, Pressione dell'aria, Umidità dell'aria, Temperatura, Composti organici volatili;Altezza di montaggio: 2,5 – 3,5 m;Altezza di montaggio max.: 3,50 m;Altezza di montaggio ottimale: 2,8 m;Angolo di rilevamento: 360 °;Possibilità di schermare segmenti del campo di rilevamento: Sì;Scalabilità elettronica: Sì;Scalabilità meccanica: No;Regolazione crepuscolare Teach: No;Collegamento in rete: Sì;Collegamento in rete via: Bluetooth Mesh;Categoria die prodotto: Multisensore;Erfassungsfläche bei Montagehöhe: 2.5 m: 6.6 x 4.2 m (28 m²), &lt;br/&gt;3.0 m: 5.0 x 8.0 m (40 m²), &lt;br/&gt;3.5 m: 5.9 x 9.3 m (55 m²);Anzahl von Erfassungszonen: 10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091163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Multisensore EO IP - incassato bianco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2026-07-25T01:03:20+02:00</dcterms:created>
  <dcterms:modified xsi:type="dcterms:W3CDTF">2026-07-25T01:03:20+02:00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